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D0" w:rsidRPr="00624937" w:rsidRDefault="00323403" w:rsidP="00750833">
      <w:pPr>
        <w:widowControl w:val="0"/>
        <w:ind w:right="57"/>
        <w:jc w:val="right"/>
        <w:rPr>
          <w:rFonts w:ascii="Calibri" w:hAnsi="Calibri" w:cs="Calibri"/>
          <w:b/>
          <w:sz w:val="19"/>
          <w:szCs w:val="19"/>
          <w:lang w:val="uk-UA"/>
        </w:rPr>
      </w:pPr>
      <w:r w:rsidRPr="00624937">
        <w:rPr>
          <w:rFonts w:ascii="Calibri" w:hAnsi="Calibri" w:cs="Calibri"/>
          <w:b/>
          <w:sz w:val="19"/>
          <w:szCs w:val="19"/>
          <w:lang w:val="uk-UA"/>
        </w:rPr>
        <w:t xml:space="preserve"> </w:t>
      </w:r>
      <w:r w:rsidR="00260CD0" w:rsidRPr="00624937">
        <w:rPr>
          <w:rFonts w:ascii="Calibri" w:hAnsi="Calibri" w:cs="Calibri"/>
          <w:b/>
          <w:sz w:val="19"/>
          <w:szCs w:val="19"/>
          <w:lang w:val="uk-UA"/>
        </w:rPr>
        <w:t>«ЗАТВЕРДЖЕНО»</w:t>
      </w:r>
    </w:p>
    <w:p w:rsidR="00260CD0" w:rsidRPr="00624937" w:rsidRDefault="00260CD0" w:rsidP="00750833">
      <w:pPr>
        <w:widowControl w:val="0"/>
        <w:ind w:right="57"/>
        <w:jc w:val="right"/>
        <w:rPr>
          <w:rFonts w:ascii="Calibri" w:hAnsi="Calibri" w:cs="Calibri"/>
          <w:b/>
          <w:sz w:val="19"/>
          <w:szCs w:val="19"/>
          <w:lang w:val="uk-UA"/>
        </w:rPr>
      </w:pPr>
      <w:r>
        <w:rPr>
          <w:rFonts w:ascii="Calibri" w:hAnsi="Calibri" w:cs="Calibri"/>
          <w:b/>
          <w:sz w:val="19"/>
          <w:szCs w:val="19"/>
          <w:lang w:val="uk-UA"/>
        </w:rPr>
        <w:t>Наглядово</w:t>
      </w:r>
      <w:r w:rsidR="00FE27FC">
        <w:rPr>
          <w:rFonts w:ascii="Calibri" w:hAnsi="Calibri" w:cs="Calibri"/>
          <w:b/>
          <w:sz w:val="19"/>
          <w:szCs w:val="19"/>
          <w:lang w:val="uk-UA"/>
        </w:rPr>
        <w:t xml:space="preserve">ю </w:t>
      </w:r>
      <w:r>
        <w:rPr>
          <w:rFonts w:ascii="Calibri" w:hAnsi="Calibri" w:cs="Calibri"/>
          <w:b/>
          <w:sz w:val="19"/>
          <w:szCs w:val="19"/>
          <w:lang w:val="uk-UA"/>
        </w:rPr>
        <w:t>рад</w:t>
      </w:r>
      <w:r w:rsidR="00FE27FC">
        <w:rPr>
          <w:rFonts w:ascii="Calibri" w:hAnsi="Calibri" w:cs="Calibri"/>
          <w:b/>
          <w:sz w:val="19"/>
          <w:szCs w:val="19"/>
          <w:lang w:val="uk-UA"/>
        </w:rPr>
        <w:t>ою</w:t>
      </w:r>
    </w:p>
    <w:p w:rsidR="00260CD0" w:rsidRPr="00624937" w:rsidRDefault="00260CD0" w:rsidP="00750833">
      <w:pPr>
        <w:widowControl w:val="0"/>
        <w:ind w:right="57"/>
        <w:jc w:val="right"/>
        <w:rPr>
          <w:rFonts w:ascii="Calibri" w:hAnsi="Calibri" w:cs="Calibri"/>
          <w:b/>
          <w:sz w:val="19"/>
          <w:szCs w:val="19"/>
          <w:lang w:val="uk-UA"/>
        </w:rPr>
      </w:pPr>
      <w:r w:rsidRPr="00624937">
        <w:rPr>
          <w:rFonts w:ascii="Calibri" w:hAnsi="Calibri" w:cs="Calibri"/>
          <w:b/>
          <w:sz w:val="19"/>
          <w:szCs w:val="19"/>
          <w:lang w:val="uk-UA"/>
        </w:rPr>
        <w:t>ПрАТ «</w:t>
      </w:r>
      <w:r w:rsidR="00D53A84">
        <w:rPr>
          <w:rFonts w:ascii="Calibri" w:hAnsi="Calibri" w:cs="Calibri"/>
          <w:b/>
          <w:sz w:val="19"/>
          <w:szCs w:val="19"/>
          <w:lang w:val="uk-UA"/>
        </w:rPr>
        <w:t>АКА</w:t>
      </w:r>
      <w:r w:rsidRPr="00624937">
        <w:rPr>
          <w:rFonts w:ascii="Calibri" w:hAnsi="Calibri" w:cs="Calibri"/>
          <w:b/>
          <w:sz w:val="19"/>
          <w:szCs w:val="19"/>
          <w:lang w:val="uk-UA"/>
        </w:rPr>
        <w:t>»</w:t>
      </w:r>
    </w:p>
    <w:p w:rsidR="00260CD0" w:rsidRPr="00752461" w:rsidRDefault="00F8467C" w:rsidP="00750833">
      <w:pPr>
        <w:widowControl w:val="0"/>
        <w:ind w:right="57"/>
        <w:jc w:val="right"/>
        <w:rPr>
          <w:rFonts w:ascii="Calibri" w:hAnsi="Calibri" w:cs="Calibri"/>
          <w:b/>
          <w:sz w:val="19"/>
          <w:szCs w:val="19"/>
        </w:rPr>
      </w:pPr>
      <w:r w:rsidRPr="00570DBC">
        <w:rPr>
          <w:rFonts w:ascii="Calibri" w:hAnsi="Calibri" w:cs="Calibri"/>
          <w:b/>
          <w:sz w:val="19"/>
          <w:szCs w:val="19"/>
          <w:lang w:val="uk-UA"/>
        </w:rPr>
        <w:t xml:space="preserve">Протокол </w:t>
      </w:r>
      <w:r w:rsidR="00260CD0" w:rsidRPr="00570DBC">
        <w:rPr>
          <w:rFonts w:ascii="Calibri" w:hAnsi="Calibri" w:cs="Calibri"/>
          <w:b/>
          <w:sz w:val="19"/>
          <w:szCs w:val="19"/>
          <w:lang w:val="uk-UA"/>
        </w:rPr>
        <w:t xml:space="preserve">№ </w:t>
      </w:r>
      <w:r w:rsidR="00511B9D" w:rsidRPr="00D51DF7">
        <w:rPr>
          <w:rFonts w:ascii="Calibri" w:hAnsi="Calibri" w:cs="Calibri"/>
          <w:b/>
          <w:sz w:val="19"/>
          <w:szCs w:val="19"/>
        </w:rPr>
        <w:t>0</w:t>
      </w:r>
      <w:r w:rsidR="00D53A84">
        <w:rPr>
          <w:rFonts w:ascii="Calibri" w:hAnsi="Calibri" w:cs="Calibri"/>
          <w:b/>
          <w:sz w:val="19"/>
          <w:szCs w:val="19"/>
          <w:lang w:val="uk-UA"/>
        </w:rPr>
        <w:t>1</w:t>
      </w:r>
      <w:r w:rsidR="00260CD0" w:rsidRPr="00D51DF7">
        <w:rPr>
          <w:rFonts w:ascii="Calibri" w:hAnsi="Calibri" w:cs="Calibri"/>
          <w:b/>
          <w:sz w:val="19"/>
          <w:szCs w:val="19"/>
          <w:lang w:val="uk-UA"/>
        </w:rPr>
        <w:t xml:space="preserve"> від </w:t>
      </w:r>
      <w:r w:rsidR="00D53A84">
        <w:rPr>
          <w:rFonts w:ascii="Calibri" w:hAnsi="Calibri" w:cs="Calibri"/>
          <w:b/>
          <w:sz w:val="19"/>
          <w:szCs w:val="19"/>
        </w:rPr>
        <w:t>01</w:t>
      </w:r>
      <w:r w:rsidR="00D53A84">
        <w:rPr>
          <w:rFonts w:ascii="Calibri" w:hAnsi="Calibri" w:cs="Calibri"/>
          <w:b/>
          <w:sz w:val="19"/>
          <w:szCs w:val="19"/>
          <w:lang w:val="uk-UA"/>
        </w:rPr>
        <w:t>.03</w:t>
      </w:r>
      <w:r w:rsidR="00260CD0" w:rsidRPr="00D51DF7">
        <w:rPr>
          <w:rFonts w:ascii="Calibri" w:hAnsi="Calibri" w:cs="Calibri"/>
          <w:b/>
          <w:sz w:val="19"/>
          <w:szCs w:val="19"/>
          <w:lang w:val="uk-UA"/>
        </w:rPr>
        <w:t>.201</w:t>
      </w:r>
      <w:r w:rsidR="00BD3411" w:rsidRPr="00D51DF7">
        <w:rPr>
          <w:rFonts w:ascii="Calibri" w:hAnsi="Calibri" w:cs="Calibri"/>
          <w:b/>
          <w:sz w:val="19"/>
          <w:szCs w:val="19"/>
        </w:rPr>
        <w:t>9</w:t>
      </w:r>
    </w:p>
    <w:p w:rsidR="005D2C00" w:rsidRPr="00363250" w:rsidRDefault="005D2C00" w:rsidP="005D2C00">
      <w:pPr>
        <w:widowControl w:val="0"/>
        <w:tabs>
          <w:tab w:val="left" w:pos="284"/>
        </w:tabs>
        <w:ind w:left="284" w:right="57"/>
        <w:jc w:val="center"/>
        <w:rPr>
          <w:rFonts w:asciiTheme="minorHAnsi" w:hAnsiTheme="minorHAnsi" w:cstheme="minorHAnsi"/>
          <w:b/>
          <w:sz w:val="17"/>
          <w:szCs w:val="17"/>
          <w:lang w:val="uk-UA"/>
        </w:rPr>
      </w:pP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ПОВІДОМЛЕННЯ</w:t>
      </w:r>
    </w:p>
    <w:p w:rsidR="005D2C00" w:rsidRPr="00363250" w:rsidRDefault="005D2C00" w:rsidP="005D2C00">
      <w:pPr>
        <w:widowControl w:val="0"/>
        <w:tabs>
          <w:tab w:val="left" w:pos="284"/>
        </w:tabs>
        <w:ind w:left="284" w:right="57"/>
        <w:jc w:val="center"/>
        <w:rPr>
          <w:rFonts w:asciiTheme="minorHAnsi" w:hAnsiTheme="minorHAnsi" w:cstheme="minorHAnsi"/>
          <w:b/>
          <w:sz w:val="17"/>
          <w:szCs w:val="17"/>
          <w:lang w:val="uk-UA"/>
        </w:rPr>
      </w:pP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про проведення річних Загальних зборів акціонерів (далі – Збори)</w:t>
      </w:r>
    </w:p>
    <w:p w:rsidR="005D2C00" w:rsidRPr="00363250" w:rsidRDefault="005D2C00" w:rsidP="005D2C00">
      <w:pPr>
        <w:widowControl w:val="0"/>
        <w:tabs>
          <w:tab w:val="left" w:pos="284"/>
        </w:tabs>
        <w:ind w:left="284" w:right="57"/>
        <w:jc w:val="center"/>
        <w:rPr>
          <w:rFonts w:asciiTheme="minorHAnsi" w:hAnsiTheme="minorHAnsi" w:cstheme="minorHAnsi"/>
          <w:b/>
          <w:sz w:val="17"/>
          <w:szCs w:val="17"/>
        </w:rPr>
      </w:pP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ПРИВАТНОГО АКЦІОНЕРНОГО ТОВАРИСТВА «</w:t>
      </w:r>
      <w:r w:rsidR="00D53A84">
        <w:rPr>
          <w:rFonts w:asciiTheme="minorHAnsi" w:hAnsiTheme="minorHAnsi" w:cstheme="minorHAnsi"/>
          <w:b/>
          <w:sz w:val="17"/>
          <w:szCs w:val="17"/>
          <w:lang w:val="uk-UA"/>
        </w:rPr>
        <w:t>АКА</w:t>
      </w: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»</w:t>
      </w:r>
      <w:r w:rsidRPr="00363250">
        <w:rPr>
          <w:rFonts w:asciiTheme="minorHAnsi" w:hAnsiTheme="minorHAnsi" w:cstheme="minorHAnsi"/>
          <w:b/>
          <w:sz w:val="17"/>
          <w:szCs w:val="17"/>
        </w:rPr>
        <w:t xml:space="preserve"> (</w:t>
      </w: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КОД ЄДРПОУ</w:t>
      </w:r>
      <w:r w:rsidRPr="00363250">
        <w:rPr>
          <w:rFonts w:asciiTheme="minorHAnsi" w:hAnsiTheme="minorHAnsi" w:cstheme="minorHAnsi"/>
          <w:b/>
          <w:sz w:val="17"/>
          <w:szCs w:val="17"/>
        </w:rPr>
        <w:t xml:space="preserve"> </w:t>
      </w:r>
      <w:r w:rsidR="00D53A84">
        <w:rPr>
          <w:rFonts w:asciiTheme="minorHAnsi" w:hAnsiTheme="minorHAnsi" w:cstheme="minorHAnsi"/>
          <w:b/>
          <w:sz w:val="17"/>
          <w:szCs w:val="17"/>
          <w:lang w:val="uk-UA"/>
        </w:rPr>
        <w:t>31458257</w:t>
      </w:r>
      <w:r w:rsidRPr="00363250">
        <w:rPr>
          <w:rFonts w:asciiTheme="minorHAnsi" w:hAnsiTheme="minorHAnsi" w:cstheme="minorHAnsi"/>
          <w:b/>
          <w:sz w:val="17"/>
          <w:szCs w:val="17"/>
        </w:rPr>
        <w:t>)</w:t>
      </w:r>
    </w:p>
    <w:p w:rsidR="005D2C00" w:rsidRPr="00363250" w:rsidRDefault="005D2C00" w:rsidP="005D2C00">
      <w:pPr>
        <w:widowControl w:val="0"/>
        <w:ind w:left="284" w:right="57"/>
        <w:jc w:val="center"/>
        <w:rPr>
          <w:rFonts w:asciiTheme="minorHAnsi" w:hAnsiTheme="minorHAnsi" w:cstheme="minorHAnsi"/>
          <w:b/>
          <w:sz w:val="17"/>
          <w:szCs w:val="17"/>
          <w:lang w:val="uk-UA"/>
        </w:rPr>
      </w:pP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0</w:t>
      </w:r>
      <w:r w:rsidR="00D53A84">
        <w:rPr>
          <w:rFonts w:asciiTheme="minorHAnsi" w:hAnsiTheme="minorHAnsi" w:cstheme="minorHAnsi"/>
          <w:b/>
          <w:sz w:val="17"/>
          <w:szCs w:val="17"/>
          <w:lang w:val="uk-UA"/>
        </w:rPr>
        <w:t>2121</w:t>
      </w:r>
      <w:r w:rsidRPr="00363250">
        <w:rPr>
          <w:rFonts w:asciiTheme="minorHAnsi" w:hAnsiTheme="minorHAnsi" w:cstheme="minorHAnsi"/>
          <w:b/>
          <w:sz w:val="17"/>
          <w:szCs w:val="17"/>
        </w:rPr>
        <w:t>,</w:t>
      </w: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 xml:space="preserve"> м. Київ, вул. </w:t>
      </w:r>
      <w:r w:rsidR="00D53A84">
        <w:rPr>
          <w:rFonts w:asciiTheme="minorHAnsi" w:hAnsiTheme="minorHAnsi" w:cstheme="minorHAnsi"/>
          <w:b/>
          <w:sz w:val="17"/>
          <w:szCs w:val="17"/>
          <w:lang w:val="uk-UA"/>
        </w:rPr>
        <w:t>Автопаркова,7</w:t>
      </w: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 xml:space="preserve"> </w:t>
      </w:r>
    </w:p>
    <w:p w:rsidR="005D2C00" w:rsidRPr="00363250" w:rsidRDefault="005D2C00" w:rsidP="005D2C00">
      <w:pPr>
        <w:widowControl w:val="0"/>
        <w:ind w:left="284" w:right="57"/>
        <w:jc w:val="center"/>
        <w:rPr>
          <w:rFonts w:asciiTheme="minorHAnsi" w:hAnsiTheme="minorHAnsi" w:cstheme="minorHAnsi"/>
          <w:b/>
          <w:sz w:val="17"/>
          <w:szCs w:val="17"/>
          <w:lang w:val="uk-UA"/>
        </w:rPr>
      </w:pPr>
      <w:r w:rsidRPr="00363250">
        <w:rPr>
          <w:rFonts w:asciiTheme="minorHAnsi" w:hAnsiTheme="minorHAnsi" w:cstheme="minorHAnsi"/>
          <w:b/>
          <w:sz w:val="17"/>
          <w:szCs w:val="17"/>
          <w:lang w:val="uk-UA"/>
        </w:rPr>
        <w:t>(далі – Товариство)</w:t>
      </w:r>
    </w:p>
    <w:tbl>
      <w:tblPr>
        <w:tblW w:w="1077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0"/>
        <w:gridCol w:w="237"/>
        <w:gridCol w:w="8366"/>
      </w:tblGrid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363250" w:rsidRDefault="005D2C00" w:rsidP="009B2F66">
            <w:pPr>
              <w:widowControl w:val="0"/>
              <w:ind w:left="284" w:right="57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ЗБОРИ ТОВАРИСТВА ПРОВОДЯТЬСЯ:</w:t>
            </w:r>
          </w:p>
        </w:tc>
      </w:tr>
      <w:tr w:rsidR="005D2C00" w:rsidRPr="00363250" w:rsidTr="005D2C00">
        <w:tc>
          <w:tcPr>
            <w:tcW w:w="2170" w:type="dxa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 xml:space="preserve">ДАТА: </w:t>
            </w:r>
          </w:p>
        </w:tc>
        <w:tc>
          <w:tcPr>
            <w:tcW w:w="8603" w:type="dxa"/>
            <w:gridSpan w:val="2"/>
            <w:shd w:val="clear" w:color="auto" w:fill="FFFFFF"/>
          </w:tcPr>
          <w:p w:rsidR="005D2C00" w:rsidRPr="00F56DE5" w:rsidRDefault="00D53A84" w:rsidP="00D53A84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25 квітня </w:t>
            </w:r>
            <w:r w:rsidR="005D2C00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201</w:t>
            </w:r>
            <w:r w:rsidR="00B27D5B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9</w:t>
            </w:r>
            <w:r w:rsidR="005D2C00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року</w:t>
            </w:r>
          </w:p>
        </w:tc>
      </w:tr>
      <w:tr w:rsidR="005D2C00" w:rsidRPr="00363250" w:rsidTr="005D2C00">
        <w:tc>
          <w:tcPr>
            <w:tcW w:w="2170" w:type="dxa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 xml:space="preserve">ЧАС: </w:t>
            </w:r>
          </w:p>
        </w:tc>
        <w:tc>
          <w:tcPr>
            <w:tcW w:w="8603" w:type="dxa"/>
            <w:gridSpan w:val="2"/>
            <w:shd w:val="clear" w:color="auto" w:fill="FFFFFF"/>
          </w:tcPr>
          <w:p w:rsidR="005D2C00" w:rsidRPr="00363250" w:rsidRDefault="00D53A84" w:rsidP="00D53A84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9</w:t>
            </w:r>
            <w:r w:rsidR="005D2C0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-00</w:t>
            </w:r>
          </w:p>
        </w:tc>
      </w:tr>
      <w:tr w:rsidR="005D2C00" w:rsidRPr="00363250" w:rsidTr="005D2C00">
        <w:tc>
          <w:tcPr>
            <w:tcW w:w="2170" w:type="dxa"/>
            <w:tcBorders>
              <w:bottom w:val="single" w:sz="4" w:space="0" w:color="auto"/>
            </w:tcBorders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МІСЦЕ:</w:t>
            </w:r>
          </w:p>
        </w:tc>
        <w:tc>
          <w:tcPr>
            <w:tcW w:w="860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2C00" w:rsidRPr="009751AE" w:rsidRDefault="005D2C00" w:rsidP="00D53A84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м. Київ, вул. </w:t>
            </w:r>
            <w:r w:rsidR="00D53A8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Автопаркова,7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,кафе «Алтея»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РЕЄСТРАЦІЯ АКЦІОНЕРІВ:</w:t>
            </w:r>
          </w:p>
        </w:tc>
      </w:tr>
      <w:tr w:rsidR="005D2C00" w:rsidRPr="00363250" w:rsidTr="005D2C00">
        <w:tc>
          <w:tcPr>
            <w:tcW w:w="2170" w:type="dxa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ПОЧАТОК:</w:t>
            </w:r>
          </w:p>
        </w:tc>
        <w:tc>
          <w:tcPr>
            <w:tcW w:w="8603" w:type="dxa"/>
            <w:gridSpan w:val="2"/>
            <w:shd w:val="clear" w:color="auto" w:fill="FFFFFF"/>
          </w:tcPr>
          <w:p w:rsidR="005D2C00" w:rsidRPr="00363250" w:rsidRDefault="00D53A84" w:rsidP="00D53A84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8-00</w:t>
            </w:r>
          </w:p>
        </w:tc>
      </w:tr>
      <w:tr w:rsidR="005D2C00" w:rsidRPr="00363250" w:rsidTr="005D2C00">
        <w:tc>
          <w:tcPr>
            <w:tcW w:w="2170" w:type="dxa"/>
            <w:tcBorders>
              <w:bottom w:val="single" w:sz="4" w:space="0" w:color="auto"/>
            </w:tcBorders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ЗАКІНЧЕННЯ:</w:t>
            </w:r>
          </w:p>
        </w:tc>
        <w:tc>
          <w:tcPr>
            <w:tcW w:w="860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2C00" w:rsidRPr="00363250" w:rsidRDefault="00D53A84" w:rsidP="009B2F66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="005D2C0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-45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D51DF7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</w:pPr>
            <w:r w:rsidRPr="00D51DF7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t>дата складення переліку акціонерів, які мають право на участь у зборах:</w:t>
            </w:r>
          </w:p>
        </w:tc>
      </w:tr>
      <w:tr w:rsidR="005D2C00" w:rsidRPr="00363250" w:rsidTr="005D2C00">
        <w:tc>
          <w:tcPr>
            <w:tcW w:w="107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2C00" w:rsidRPr="00D51DF7" w:rsidRDefault="00D53A84" w:rsidP="00D53A84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19 квітня</w:t>
            </w:r>
            <w:r w:rsidR="005D2C00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201</w:t>
            </w:r>
            <w:r w:rsidR="00B27D5B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9</w:t>
            </w:r>
            <w:r w:rsidR="005D2C00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року, станом на 24 годину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t>ПРОЕКТ ПОРЯДКУ ДЕННОГО: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auto"/>
          </w:tcPr>
          <w:p w:rsidR="005D2C00" w:rsidRPr="00363250" w:rsidRDefault="005D2C00" w:rsidP="009B2F66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1. Обрання робочих органів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борів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Товариства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(Голови Зборів, Секретаря Зборів, Лічильної комісії Зборів). </w:t>
            </w:r>
          </w:p>
          <w:p w:rsidR="00752461" w:rsidRDefault="005D2C00" w:rsidP="009B2F66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2. </w:t>
            </w:r>
            <w:r w:rsidR="00752461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Прийняття рішення за наслідками розгляду звіту Генерального директора Товариства п</w:t>
            </w:r>
            <w:r w:rsidR="00752461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ро результати діяльності за 2018</w:t>
            </w:r>
            <w:r w:rsidR="00752461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752461" w:rsidP="009B2F66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3. </w:t>
            </w:r>
            <w:r w:rsidR="005D2C0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Прийняття рішення за наслідками розгляду звіту Наглядової ради Товариства п</w:t>
            </w:r>
            <w:r w:rsidR="00B27D5B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ро результати діяльності за 2018</w:t>
            </w:r>
            <w:r w:rsidR="005D2C0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5D2C00" w:rsidP="009B2F66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4. Прийняття рішення за наслідками розгляду звіту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Ревізора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Товариства про результати діяльності за 201</w:t>
            </w:r>
            <w:r w:rsidR="00752461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5D2C00" w:rsidP="009B2F66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5. Затвердження річної фінансової звітності Товариства за 201</w:t>
            </w:r>
            <w:r w:rsidR="00752461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752461" w:rsidRPr="00363250" w:rsidRDefault="005D2C00" w:rsidP="00752461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6. Розподіл прибутку і  збитків Товариства за 201</w:t>
            </w:r>
            <w:r w:rsidR="00752461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 рік та затвердження розміру річних дивідендів.</w:t>
            </w:r>
          </w:p>
          <w:p w:rsidR="005D2C00" w:rsidRPr="00752461" w:rsidRDefault="00D53A84" w:rsidP="00752461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7</w:t>
            </w:r>
            <w:r w:rsidR="005D2C0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 Затвердження умов цивільно-правових договорів, що укладатимуться з членами Наглядової ради Товариства, встановлення розміру їх винагороди, обрання особи, яка уповноважується на підписання договорів з членами Наглядової ради Товариства.</w:t>
            </w:r>
          </w:p>
        </w:tc>
      </w:tr>
      <w:tr w:rsidR="005D2C00" w:rsidRPr="00363250" w:rsidTr="005D2C00">
        <w:trPr>
          <w:trHeight w:val="4807"/>
        </w:trPr>
        <w:tc>
          <w:tcPr>
            <w:tcW w:w="10773" w:type="dxa"/>
            <w:gridSpan w:val="3"/>
            <w:shd w:val="clear" w:color="auto" w:fill="auto"/>
          </w:tcPr>
          <w:p w:rsidR="005D2C00" w:rsidRPr="00363250" w:rsidRDefault="005D2C00" w:rsidP="009B2F66">
            <w:pPr>
              <w:ind w:left="34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uk-UA" w:eastAsia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 w:eastAsia="uk-UA"/>
              </w:rPr>
              <w:t>ОСНОВНІ ПОКАЗНИКИ ФІНАНСОВО — ГОСПОДАРСЬКОЇ ДІЯЛЬНОСТІ ТОВАРИСТВА ЗА 201</w:t>
            </w:r>
            <w:r w:rsidR="00752461">
              <w:rPr>
                <w:rFonts w:asciiTheme="minorHAnsi" w:hAnsiTheme="minorHAnsi" w:cstheme="minorHAnsi"/>
                <w:b/>
                <w:sz w:val="17"/>
                <w:szCs w:val="17"/>
                <w:lang w:val="uk-UA" w:eastAsia="uk-UA"/>
              </w:rPr>
              <w:t>8</w:t>
            </w: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 w:eastAsia="uk-UA"/>
              </w:rPr>
              <w:t xml:space="preserve"> рік. (тис.грн.)</w:t>
            </w:r>
          </w:p>
          <w:tbl>
            <w:tblPr>
              <w:tblW w:w="106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68"/>
              <w:gridCol w:w="1800"/>
              <w:gridCol w:w="2034"/>
            </w:tblGrid>
            <w:tr w:rsidR="005D2C00" w:rsidRPr="00363250" w:rsidTr="009B2F66">
              <w:trPr>
                <w:trHeight w:val="305"/>
                <w:jc w:val="center"/>
              </w:trPr>
              <w:tc>
                <w:tcPr>
                  <w:tcW w:w="6768" w:type="dxa"/>
                </w:tcPr>
                <w:p w:rsidR="005D2C00" w:rsidRPr="00D51DF7" w:rsidRDefault="005D2C00" w:rsidP="009B2F66">
                  <w:pPr>
                    <w:ind w:left="34"/>
                    <w:rPr>
                      <w:rFonts w:asciiTheme="minorHAnsi" w:hAnsiTheme="minorHAnsi" w:cstheme="minorHAnsi"/>
                      <w:b/>
                      <w:bCs/>
                      <w:sz w:val="17"/>
                      <w:szCs w:val="17"/>
                      <w:lang w:val="uk-UA"/>
                    </w:rPr>
                  </w:pPr>
                  <w:r w:rsidRPr="00D51DF7">
                    <w:rPr>
                      <w:rFonts w:asciiTheme="minorHAnsi" w:hAnsiTheme="minorHAnsi" w:cstheme="minorHAnsi"/>
                      <w:b/>
                      <w:bCs/>
                      <w:sz w:val="17"/>
                      <w:szCs w:val="17"/>
                      <w:lang w:val="uk-UA"/>
                    </w:rPr>
                    <w:t>Найменування показника </w:t>
                  </w:r>
                </w:p>
              </w:tc>
              <w:tc>
                <w:tcPr>
                  <w:tcW w:w="1800" w:type="dxa"/>
                </w:tcPr>
                <w:p w:rsidR="005D2C00" w:rsidRPr="00D51DF7" w:rsidRDefault="005D2C00" w:rsidP="009B2F66">
                  <w:pPr>
                    <w:ind w:left="34"/>
                    <w:rPr>
                      <w:rFonts w:asciiTheme="minorHAnsi" w:hAnsiTheme="minorHAnsi" w:cstheme="minorHAnsi"/>
                      <w:b/>
                      <w:bCs/>
                      <w:sz w:val="17"/>
                      <w:szCs w:val="17"/>
                      <w:lang w:val="uk-UA"/>
                    </w:rPr>
                  </w:pPr>
                  <w:r w:rsidRPr="00D51DF7">
                    <w:rPr>
                      <w:rFonts w:asciiTheme="minorHAnsi" w:hAnsiTheme="minorHAnsi" w:cstheme="minorHAnsi"/>
                      <w:b/>
                      <w:bCs/>
                      <w:sz w:val="17"/>
                      <w:szCs w:val="17"/>
                      <w:lang w:val="uk-UA"/>
                    </w:rPr>
                    <w:t>Звітний період </w:t>
                  </w:r>
                </w:p>
              </w:tc>
              <w:tc>
                <w:tcPr>
                  <w:tcW w:w="2034" w:type="dxa"/>
                </w:tcPr>
                <w:p w:rsidR="005D2C00" w:rsidRPr="00363250" w:rsidRDefault="005D2C00" w:rsidP="009B2F66">
                  <w:pPr>
                    <w:ind w:left="34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7"/>
                      <w:szCs w:val="17"/>
                      <w:lang w:val="uk-UA"/>
                    </w:rPr>
                  </w:pPr>
                  <w:r w:rsidRPr="00363250">
                    <w:rPr>
                      <w:rFonts w:asciiTheme="minorHAnsi" w:hAnsiTheme="minorHAnsi" w:cstheme="minorHAnsi"/>
                      <w:b/>
                      <w:bCs/>
                      <w:sz w:val="17"/>
                      <w:szCs w:val="17"/>
                      <w:lang w:val="uk-UA"/>
                    </w:rPr>
                    <w:t>Попередній період</w:t>
                  </w:r>
                </w:p>
              </w:tc>
            </w:tr>
            <w:tr w:rsidR="00BD3411" w:rsidRPr="00363250" w:rsidTr="009B2F66">
              <w:trPr>
                <w:trHeight w:val="285"/>
                <w:jc w:val="center"/>
              </w:trPr>
              <w:tc>
                <w:tcPr>
                  <w:tcW w:w="6768" w:type="dxa"/>
                </w:tcPr>
                <w:p w:rsidR="00BD3411" w:rsidRPr="00363250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363250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Усього активів  </w:t>
                  </w:r>
                </w:p>
              </w:tc>
              <w:tc>
                <w:tcPr>
                  <w:tcW w:w="1800" w:type="dxa"/>
                </w:tcPr>
                <w:p w:rsidR="00BD3411" w:rsidRPr="00363250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15176</w:t>
                  </w:r>
                </w:p>
              </w:tc>
              <w:tc>
                <w:tcPr>
                  <w:tcW w:w="2034" w:type="dxa"/>
                </w:tcPr>
                <w:p w:rsidR="00BD3411" w:rsidRPr="00363250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15752</w:t>
                  </w:r>
                </w:p>
              </w:tc>
            </w:tr>
            <w:tr w:rsidR="00BD3411" w:rsidRPr="00363250" w:rsidTr="009B2F66">
              <w:trPr>
                <w:trHeight w:val="289"/>
                <w:jc w:val="center"/>
              </w:trPr>
              <w:tc>
                <w:tcPr>
                  <w:tcW w:w="6768" w:type="dxa"/>
                </w:tcPr>
                <w:p w:rsidR="00BD3411" w:rsidRPr="00363250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363250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Основні засоби  </w:t>
                  </w:r>
                </w:p>
              </w:tc>
              <w:tc>
                <w:tcPr>
                  <w:tcW w:w="1800" w:type="dxa"/>
                </w:tcPr>
                <w:p w:rsidR="00BD3411" w:rsidRPr="00363250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13978</w:t>
                  </w:r>
                </w:p>
              </w:tc>
              <w:tc>
                <w:tcPr>
                  <w:tcW w:w="2034" w:type="dxa"/>
                </w:tcPr>
                <w:p w:rsidR="00BD3411" w:rsidRPr="00363250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14554</w:t>
                  </w:r>
                </w:p>
              </w:tc>
            </w:tr>
            <w:tr w:rsidR="00BD3411" w:rsidRPr="00363250" w:rsidTr="009B2F66">
              <w:trPr>
                <w:trHeight w:val="265"/>
                <w:jc w:val="center"/>
              </w:trPr>
              <w:tc>
                <w:tcPr>
                  <w:tcW w:w="6768" w:type="dxa"/>
                </w:tcPr>
                <w:p w:rsidR="00BD3411" w:rsidRPr="00363250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363250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Довгострокові фінансові інвестиції  </w:t>
                  </w:r>
                </w:p>
              </w:tc>
              <w:tc>
                <w:tcPr>
                  <w:tcW w:w="1800" w:type="dxa"/>
                </w:tcPr>
                <w:p w:rsidR="00BD3411" w:rsidRPr="00363250" w:rsidRDefault="00AD6D60" w:rsidP="00AD6D60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1198</w:t>
                  </w:r>
                </w:p>
              </w:tc>
              <w:tc>
                <w:tcPr>
                  <w:tcW w:w="2034" w:type="dxa"/>
                </w:tcPr>
                <w:p w:rsidR="00BD3411" w:rsidRPr="00363250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1198</w:t>
                  </w:r>
                </w:p>
              </w:tc>
            </w:tr>
            <w:tr w:rsidR="00BD3411" w:rsidRPr="00363250" w:rsidTr="009B2F66">
              <w:trPr>
                <w:trHeight w:val="127"/>
                <w:jc w:val="center"/>
              </w:trPr>
              <w:tc>
                <w:tcPr>
                  <w:tcW w:w="6768" w:type="dxa"/>
                </w:tcPr>
                <w:p w:rsidR="00BD3411" w:rsidRPr="00363250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363250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Запаси </w:t>
                  </w:r>
                </w:p>
              </w:tc>
              <w:tc>
                <w:tcPr>
                  <w:tcW w:w="1800" w:type="dxa"/>
                </w:tcPr>
                <w:p w:rsidR="00BD3411" w:rsidRPr="00363250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</w:p>
              </w:tc>
              <w:tc>
                <w:tcPr>
                  <w:tcW w:w="2034" w:type="dxa"/>
                </w:tcPr>
                <w:p w:rsidR="00BD3411" w:rsidRPr="00363250" w:rsidRDefault="00BD3411" w:rsidP="00AD6D60">
                  <w:pP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</w:p>
              </w:tc>
            </w:tr>
            <w:tr w:rsidR="00BD3411" w:rsidRPr="00363250" w:rsidTr="009B2F66">
              <w:trPr>
                <w:trHeight w:val="159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Сумарна дебіторська заборгованість 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478</w:t>
                  </w:r>
                </w:p>
              </w:tc>
              <w:tc>
                <w:tcPr>
                  <w:tcW w:w="2034" w:type="dxa"/>
                </w:tcPr>
                <w:p w:rsidR="00BD3411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465</w:t>
                  </w:r>
                </w:p>
                <w:p w:rsidR="00AD6D60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</w:p>
              </w:tc>
            </w:tr>
            <w:tr w:rsidR="00BD3411" w:rsidRPr="00363250" w:rsidTr="009B2F66">
              <w:trPr>
                <w:trHeight w:val="191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Грошові кошти та їх еквіваленти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82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3</w:t>
                  </w:r>
                </w:p>
              </w:tc>
            </w:tr>
            <w:tr w:rsidR="00BD3411" w:rsidRPr="00363250" w:rsidTr="009B2F66">
              <w:trPr>
                <w:trHeight w:val="223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Нерозподілений прибуток </w:t>
                  </w:r>
                </w:p>
              </w:tc>
              <w:tc>
                <w:tcPr>
                  <w:tcW w:w="1800" w:type="dxa"/>
                </w:tcPr>
                <w:p w:rsidR="005B5841" w:rsidRPr="00E43A8D" w:rsidRDefault="00AD6D60" w:rsidP="005B584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2256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2560</w:t>
                  </w:r>
                </w:p>
              </w:tc>
            </w:tr>
            <w:tr w:rsidR="00BD3411" w:rsidRPr="00363250" w:rsidTr="009B2F66">
              <w:trPr>
                <w:trHeight w:val="255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Власний капітал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10711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10711</w:t>
                  </w:r>
                </w:p>
              </w:tc>
            </w:tr>
            <w:tr w:rsidR="00BD3411" w:rsidRPr="00363250" w:rsidTr="009B2F66">
              <w:trPr>
                <w:trHeight w:val="273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Статутний капітал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2000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2000</w:t>
                  </w:r>
                </w:p>
              </w:tc>
            </w:tr>
            <w:tr w:rsidR="00BD3411" w:rsidRPr="00363250" w:rsidTr="009B2F66">
              <w:trPr>
                <w:trHeight w:val="263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Довгострокові зобов'язання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</w:p>
              </w:tc>
              <w:tc>
                <w:tcPr>
                  <w:tcW w:w="2034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</w:p>
              </w:tc>
            </w:tr>
            <w:tr w:rsidR="00BD3411" w:rsidRPr="00363250" w:rsidTr="009B2F66">
              <w:trPr>
                <w:trHeight w:val="280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Поточні зобов'язання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841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1019</w:t>
                  </w:r>
                </w:p>
              </w:tc>
            </w:tr>
            <w:tr w:rsidR="00BD3411" w:rsidRPr="00363250" w:rsidTr="009B2F66">
              <w:trPr>
                <w:trHeight w:val="271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Чистий прибуток (збиток)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DA5704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696</w:t>
                  </w:r>
                </w:p>
              </w:tc>
              <w:tc>
                <w:tcPr>
                  <w:tcW w:w="2034" w:type="dxa"/>
                </w:tcPr>
                <w:p w:rsidR="00BD3411" w:rsidRPr="00E43A8D" w:rsidRDefault="00DA5704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377</w:t>
                  </w:r>
                </w:p>
              </w:tc>
            </w:tr>
            <w:tr w:rsidR="00BD3411" w:rsidRPr="00363250" w:rsidTr="009B2F66">
              <w:trPr>
                <w:trHeight w:val="133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Середньорічна кількість акцій (шт.) </w:t>
                  </w:r>
                </w:p>
              </w:tc>
              <w:tc>
                <w:tcPr>
                  <w:tcW w:w="1800" w:type="dxa"/>
                </w:tcPr>
                <w:p w:rsidR="005B5841" w:rsidRPr="00E43A8D" w:rsidRDefault="00AD6D60" w:rsidP="005B584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8000000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8000000</w:t>
                  </w:r>
                </w:p>
              </w:tc>
            </w:tr>
            <w:tr w:rsidR="00BD3411" w:rsidRPr="00363250" w:rsidTr="009B2F66">
              <w:trPr>
                <w:trHeight w:val="307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Кількість власних акцій, викуплених протягом періоду (шт.)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511B9D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-</w:t>
                  </w:r>
                </w:p>
              </w:tc>
              <w:tc>
                <w:tcPr>
                  <w:tcW w:w="2034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-</w:t>
                  </w:r>
                </w:p>
              </w:tc>
            </w:tr>
            <w:tr w:rsidR="00BD3411" w:rsidRPr="00363250" w:rsidTr="009B2F66">
              <w:trPr>
                <w:trHeight w:val="60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Загальна сума коштів, витрачених на викуп власних акцій протягом періоду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511B9D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-</w:t>
                  </w:r>
                </w:p>
              </w:tc>
              <w:tc>
                <w:tcPr>
                  <w:tcW w:w="2034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-</w:t>
                  </w:r>
                </w:p>
              </w:tc>
            </w:tr>
            <w:tr w:rsidR="00BD3411" w:rsidRPr="00363250" w:rsidTr="009B2F66">
              <w:trPr>
                <w:trHeight w:val="273"/>
                <w:jc w:val="center"/>
              </w:trPr>
              <w:tc>
                <w:tcPr>
                  <w:tcW w:w="6768" w:type="dxa"/>
                </w:tcPr>
                <w:p w:rsidR="00BD3411" w:rsidRPr="00E43A8D" w:rsidRDefault="00BD3411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 w:rsidRPr="00E43A8D"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Чисельність працівників на кінець періоду (осіб) </w:t>
                  </w:r>
                </w:p>
              </w:tc>
              <w:tc>
                <w:tcPr>
                  <w:tcW w:w="1800" w:type="dxa"/>
                </w:tcPr>
                <w:p w:rsidR="00BD3411" w:rsidRPr="00E43A8D" w:rsidRDefault="00AD6D60" w:rsidP="00AD6D60">
                  <w:pP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18</w:t>
                  </w:r>
                </w:p>
              </w:tc>
              <w:tc>
                <w:tcPr>
                  <w:tcW w:w="2034" w:type="dxa"/>
                </w:tcPr>
                <w:p w:rsidR="00BD3411" w:rsidRPr="00E43A8D" w:rsidRDefault="00AD6D60" w:rsidP="00BD3411">
                  <w:pPr>
                    <w:ind w:left="34"/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17"/>
                      <w:szCs w:val="17"/>
                      <w:lang w:val="uk-UA"/>
                    </w:rPr>
                    <w:t>17</w:t>
                  </w:r>
                </w:p>
              </w:tc>
            </w:tr>
          </w:tbl>
          <w:p w:rsidR="005D2C00" w:rsidRPr="00363250" w:rsidRDefault="005D2C00" w:rsidP="009B2F66">
            <w:pPr>
              <w:widowControl w:val="0"/>
              <w:tabs>
                <w:tab w:val="left" w:pos="317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t>перелік питань</w:t>
            </w: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</w:rPr>
              <w:t xml:space="preserve"> </w:t>
            </w: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t>разом з проектом рішень (крім кумулятивного голосування) щодо кожного з питань, включених до проекту порядку денного:</w:t>
            </w:r>
          </w:p>
        </w:tc>
      </w:tr>
      <w:tr w:rsidR="005D2C00" w:rsidRPr="00E43A8D" w:rsidTr="005D2C00">
        <w:trPr>
          <w:trHeight w:val="70"/>
        </w:trPr>
        <w:tc>
          <w:tcPr>
            <w:tcW w:w="10773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1. Обрання робочих органів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борів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Товариства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(Голови Зборів, Секретаря Зборів, Лічильної комісії Зборів).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Проект рішення: Обрати </w:t>
            </w:r>
            <w:r w:rsidR="005041E6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Г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оловою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Товариства </w:t>
            </w:r>
            <w:r w:rsidR="00D53A8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Поромову Ганну Василівну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. Обрати </w:t>
            </w:r>
            <w:r w:rsidR="005041E6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С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екретарем Зборів Товариства </w:t>
            </w:r>
            <w:r w:rsidR="00D53A8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Задушинського Ігоря Євгеновича</w:t>
            </w:r>
            <w:r w:rsidR="00D53A84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. Обрати Лічильну комісію у наступному складі: Голова Лічильної комісії – </w:t>
            </w:r>
            <w:r w:rsidR="00D53A8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Індиченко Людмила Миколаївна</w:t>
            </w:r>
            <w:r w:rsidR="00D72F5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, Член Лічильної комісії –Остроух Ольга Миколаївна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2. Прийняття рішення за наслідками розгляду звіту Генерального директора Товариства про результати діяльності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Проект рішення: Затвердити звіт Генерального директора Товариства п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ро результати діяльності за 2018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</w:t>
            </w:r>
            <w:r w:rsidR="00EB640D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3. Прийняття рішення за наслідками розгляду звіту Наглядової ради Товариства п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ро результати діяльності за 2018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Проект рішення: Затвердити звіт Наглядової ради Товариства про результати діяльності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</w:t>
            </w:r>
            <w:r w:rsidR="00EB640D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4. Прийняття рішення за наслідками розгляду звіту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Ревізора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Товариства про результати діяльності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Проект рішення: Затвердити звіт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Ревізора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Товариства про результати діяльності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</w:t>
            </w:r>
            <w:r w:rsidR="00EB640D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5. Затвердження річної фінансової звітності Товариства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Проект рішення: Затвердити річну фінансову звітність Товариства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рік. </w:t>
            </w:r>
          </w:p>
          <w:p w:rsidR="005D2C00" w:rsidRPr="00363250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6. </w:t>
            </w:r>
            <w:r w:rsidR="006C6EF2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Розподіл прибутку і  збитків Товариства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 рік та затвердження розміру річних дивідендів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</w:t>
            </w:r>
          </w:p>
          <w:p w:rsidR="00C4758E" w:rsidRDefault="005D2C00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Проект рішення: </w:t>
            </w:r>
            <w:r w:rsidR="00DA570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  <w:r w:rsidR="00C4758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Всю суму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чистого прибутку Товариства за 201</w:t>
            </w:r>
            <w:r w:rsidR="006C6EF2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8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рік в 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розмір</w:t>
            </w:r>
            <w:r w:rsidR="00DA570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696000,00 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(</w:t>
            </w:r>
            <w:r w:rsidR="00DA570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Шістсот дев»яносто шість тисяч 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) гривень </w:t>
            </w:r>
            <w:r w:rsidR="005B5841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00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копійок</w:t>
            </w:r>
            <w:r w:rsidR="00DA570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розподілити наступним чином: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  <w:r w:rsidR="00DA570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5% чистого прибутку (В сумі 35000грн) направити до резервного капіталу : 640000 (шістсот сорок тисяч )гривень 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направити на виплату дивідендів акціонерам Товариства. Виплату дивідендів здійснити</w:t>
            </w:r>
            <w:r w:rsidR="00E60317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безпосередньо кожному акціонеру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, пропорційно кількості належних кожному акціонеру акцій у розрахунку</w:t>
            </w:r>
            <w:r w:rsidR="00DA5704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0,08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(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нуль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)</w:t>
            </w:r>
            <w:r w:rsidR="00D51DF7"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гривень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(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вісім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) копійок на одну акці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ю</w:t>
            </w:r>
            <w:r w:rsidRPr="00D51DF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, решту прибутку направити на розвиток підприємства.</w:t>
            </w:r>
          </w:p>
          <w:p w:rsidR="005D2C00" w:rsidRPr="00363250" w:rsidRDefault="00D53A84" w:rsidP="009B2F66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7</w:t>
            </w:r>
            <w:r w:rsidR="005D2C0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 Затвердження умов цивільно-правових договорів, що укладатимуться з членами Наглядової ради Товариства, встановлення розміру їх винагороди, обрання особи, яка уповноважується на підписання договорів з членами Наглядової ради Товариства.</w:t>
            </w:r>
          </w:p>
          <w:p w:rsidR="005D2C00" w:rsidRPr="005B5841" w:rsidRDefault="005D2C00" w:rsidP="006C6EF2">
            <w:pPr>
              <w:widowControl w:val="0"/>
              <w:tabs>
                <w:tab w:val="left" w:pos="175"/>
              </w:tabs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Проект рішення: 1) Затвердити ум</w:t>
            </w:r>
            <w:r w:rsidR="0018258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ови цивільно-правових договорів, </w:t>
            </w:r>
            <w:r w:rsidR="00182580"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що укладатимуться з членами Наглядової ради Товариства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  <w:r w:rsidR="0018258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та встановити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розміру їх винагороди відповідно до проектів договорів, запропонованих Товариством. 2) Уповноважити </w:t>
            </w:r>
            <w:r w:rsidR="0018258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Генерального д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иректора Товариства на підписання договорів  з членами Наглядової ради Товариства. 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t xml:space="preserve">адреса власного веб-сайту, на якому розміщена інформація з проектом рішень щодо кожного з питань, включених до </w:t>
            </w: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lastRenderedPageBreak/>
              <w:t>проекту порядку денного, а також інформація відповідно до ч. 4 ст. 35 Закону України «Про акціонерні товариства»: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auto"/>
          </w:tcPr>
          <w:p w:rsidR="005D2C00" w:rsidRPr="00363250" w:rsidRDefault="005D2C00" w:rsidP="009751AE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lastRenderedPageBreak/>
              <w:t>www.</w:t>
            </w:r>
            <w:r w:rsidR="009751AE">
              <w:rPr>
                <w:rFonts w:asciiTheme="minorHAnsi" w:hAnsiTheme="minorHAnsi" w:cstheme="minorHAnsi"/>
                <w:b/>
                <w:sz w:val="17"/>
                <w:szCs w:val="17"/>
                <w:lang w:val="en-US"/>
              </w:rPr>
              <w:t>aka</w:t>
            </w:r>
            <w:r w:rsidR="009751AE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.</w:t>
            </w:r>
            <w:r w:rsidR="009751AE">
              <w:rPr>
                <w:rFonts w:asciiTheme="minorHAnsi" w:hAnsiTheme="minorHAnsi" w:cstheme="minorHAnsi"/>
                <w:b/>
                <w:sz w:val="17"/>
                <w:szCs w:val="17"/>
                <w:lang w:val="en-US"/>
              </w:rPr>
              <w:t>org</w:t>
            </w: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.ua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caps/>
                <w:sz w:val="17"/>
                <w:szCs w:val="17"/>
                <w:lang w:val="uk-UA"/>
              </w:rPr>
              <w:t>порядок ознайомлення акціонерів з матеріалами (документами):</w:t>
            </w:r>
          </w:p>
        </w:tc>
      </w:tr>
      <w:tr w:rsidR="005D2C00" w:rsidRPr="00363250" w:rsidTr="005D2C00">
        <w:tc>
          <w:tcPr>
            <w:tcW w:w="2407" w:type="dxa"/>
            <w:gridSpan w:val="2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СТРОК:</w:t>
            </w:r>
          </w:p>
        </w:tc>
        <w:tc>
          <w:tcPr>
            <w:tcW w:w="8366" w:type="dxa"/>
            <w:shd w:val="clear" w:color="auto" w:fill="auto"/>
          </w:tcPr>
          <w:p w:rsidR="005D2C00" w:rsidRPr="00363250" w:rsidRDefault="005D2C00" w:rsidP="00984C13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з 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22 березня 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201</w:t>
            </w:r>
            <w:r w:rsidR="0019543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9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року по 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24 </w:t>
            </w:r>
            <w:r w:rsidR="00984C13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квітня</w:t>
            </w:r>
            <w:bookmarkStart w:id="0" w:name="_GoBack"/>
            <w:bookmarkEnd w:id="0"/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201</w:t>
            </w:r>
            <w:r w:rsidR="0019543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9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року включно</w:t>
            </w:r>
          </w:p>
        </w:tc>
      </w:tr>
      <w:tr w:rsidR="005D2C00" w:rsidRPr="00363250" w:rsidTr="005D2C00">
        <w:tc>
          <w:tcPr>
            <w:tcW w:w="2407" w:type="dxa"/>
            <w:gridSpan w:val="2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МІСЦЕ:</w:t>
            </w:r>
          </w:p>
        </w:tc>
        <w:tc>
          <w:tcPr>
            <w:tcW w:w="8366" w:type="dxa"/>
            <w:shd w:val="clear" w:color="auto" w:fill="auto"/>
          </w:tcPr>
          <w:p w:rsidR="005D2C00" w:rsidRPr="00363250" w:rsidRDefault="005D2C00" w:rsidP="009751AE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м. Київ, вул.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Автопаркова,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7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, 2 поверх,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приймальня ПрАТ»АКА»</w:t>
            </w:r>
          </w:p>
        </w:tc>
      </w:tr>
      <w:tr w:rsidR="005D2C00" w:rsidRPr="00363250" w:rsidTr="005D2C00">
        <w:tc>
          <w:tcPr>
            <w:tcW w:w="2407" w:type="dxa"/>
            <w:gridSpan w:val="2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ЧАС:</w:t>
            </w:r>
          </w:p>
        </w:tc>
        <w:tc>
          <w:tcPr>
            <w:tcW w:w="8366" w:type="dxa"/>
            <w:shd w:val="clear" w:color="auto" w:fill="auto"/>
          </w:tcPr>
          <w:p w:rsidR="005D2C00" w:rsidRPr="00363250" w:rsidRDefault="005D2C00" w:rsidP="009B2F66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 9:00 до 18:00 у робочі дні</w:t>
            </w:r>
          </w:p>
        </w:tc>
      </w:tr>
      <w:tr w:rsidR="005D2C00" w:rsidRPr="00363250" w:rsidTr="005D2C00">
        <w:tc>
          <w:tcPr>
            <w:tcW w:w="2407" w:type="dxa"/>
            <w:gridSpan w:val="2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ВІДПОВІДАЛЬНА ОСОБА:</w:t>
            </w:r>
          </w:p>
        </w:tc>
        <w:tc>
          <w:tcPr>
            <w:tcW w:w="8366" w:type="dxa"/>
            <w:shd w:val="clear" w:color="auto" w:fill="auto"/>
          </w:tcPr>
          <w:p w:rsidR="005D2C00" w:rsidRPr="00363250" w:rsidRDefault="005D2C00" w:rsidP="009751AE">
            <w:pPr>
              <w:widowControl w:val="0"/>
              <w:ind w:left="284" w:right="57"/>
              <w:jc w:val="both"/>
              <w:rPr>
                <w:rFonts w:asciiTheme="minorHAnsi" w:hAnsiTheme="minorHAnsi" w:cstheme="minorHAnsi"/>
                <w:sz w:val="17"/>
                <w:szCs w:val="17"/>
                <w:highlight w:val="yellow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Генеральний директор  </w:t>
            </w:r>
            <w:r w:rsidR="009751AE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Андронов А.А.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 w:themeFill="background1" w:themeFillShade="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ПРАВА, НАДАНІ АКЦІОНЕРАМ ВІДПОВІДНО ДО ВИМОГ</w:t>
            </w:r>
            <w:r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 xml:space="preserve"> СТАТЕЙ</w:t>
            </w: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 xml:space="preserve"> 36 ТА 38 ЗАКОНУ УКРАЇНИ «ПРО АКЦІОНЕРНІ ТОВАРИСТВА»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1. Акціонери мають право, зокрема, до дня проведення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ознайомитись з матеріалами (документами), необхідними для прийняття рішень з питань порядку денного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борів, у робочий час в робочі дні за адресою: м. Київ, вул. </w:t>
            </w:r>
            <w:r w:rsidR="005111FD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Автопаркова,7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, в приміщенні 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овариства на 2 поверсі, </w:t>
            </w:r>
            <w:r w:rsidR="005111FD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приймальня правління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, а в день проведення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в місці їх проведення. Відповідальний за порядок ознайомлення з документами – Генеральний директор </w:t>
            </w:r>
            <w:r w:rsidR="002F6A89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Андронов А.А.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.</w:t>
            </w:r>
            <w:r w:rsidR="009F3427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 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2. Акціонери до дати проведення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мають право подавати Товариству письмові запитання щодо питань, включених до проекту порядку денного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та порядку денного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борів, на які Товариство зобов’язане надати письмові відповіді до початку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борів у встановленому Товариством порядку.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3. Кожний акціонер має право внести пропозиції щодо питань, включених до проекту порядку денного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овариства, а також щодо нових кандидатів до складу органів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овариства, кількість яких не може перевищувати кількісного складу кожного з органів. Пропозиції вносяться не пізніше ніж за 20 днів до дати проведення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овариства, а щод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о кандидатів до складу органів 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овариства - не пізніше ніж за сім днів до дати проведення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борів в письмовій формі із зазначенням прізвища (найменування) акціонера, який її вносить, кількості, типу та/або класу належних йому акцій, змісту пропозиції до питання та/або проекту рішення, а також кількості, типу та/або класу акцій, що належать кандидату, який пропонується ци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м акціонером до складу органів 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овариства.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4. Акціонер має право оскаржити до суду рішення про відмову у включення його пропозиції до проекту порядку денного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борів Товариства.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D9D9D9" w:themeFill="background1" w:themeFillShade="D9"/>
          </w:tcPr>
          <w:p w:rsidR="005D2C00" w:rsidRPr="00363250" w:rsidRDefault="005D2C00" w:rsidP="009B2F66">
            <w:pPr>
              <w:widowControl w:val="0"/>
              <w:ind w:left="34" w:right="57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b/>
                <w:sz w:val="17"/>
                <w:szCs w:val="17"/>
                <w:lang w:val="uk-UA"/>
              </w:rPr>
              <w:t>ПОРЯДОК УЧАСТІ ТА ГОЛОСУВАННЯ НА ЗБОРАХ ЗА ДОВІРЕНІСТЮ</w:t>
            </w:r>
          </w:p>
        </w:tc>
      </w:tr>
      <w:tr w:rsidR="005D2C00" w:rsidRPr="00363250" w:rsidTr="005D2C00">
        <w:tc>
          <w:tcPr>
            <w:tcW w:w="10773" w:type="dxa"/>
            <w:gridSpan w:val="3"/>
            <w:shd w:val="clear" w:color="auto" w:fill="FFFFFF"/>
          </w:tcPr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1. Представником акціонера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борах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овариства може бути фізична особа або уповноважена особа юридичної особи, а також уповноважена особа держави чи територіальної громади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2. Довіреність на право участі та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борах, видана фізичною особою, посвідчується нотаріусом або іншими посадовими особами, які вчиняють нотаріальні дії, а також може посвідчуватися депозитарною установою у встановленому Національною комісією з цінних паперів та фондового ринку порядку. Довіреність на право участі та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від імені юридичної особи видається її органом або іншою особою, уповноваженою на це її установчими документами.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3. Довіреність на право участі та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борах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овариства може містити завдання щодо голосування, тобто перелік питань порядку денного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борів із зазначенням того, як і за яке (проти якого) рішення потрібно проголосувати. Під час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представник повинен голосувати саме так, як передбаче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но завданням щодо голосування. 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Якщо довіреність не містить завдання щодо голосування, представник вирішує всі питання щодо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на свій розсуд.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4. Акціонер має право видати довіреність на право участі та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декільком своїм представникам.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5. Акціонер має право у будь-який час відкликати чи замінити свого представника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борах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овариства.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6. Надання довіреності на право участі та голосування на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борах не виключає право участі на цих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акціонера, який видав довіреність, замість свого представника.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7. До закінчення строку, відведеного на реєстрацію акціонерів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для участі у 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ах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, акціонер має право замінити свого представника, повідомивши про це реєстраційну комісію та виконавчий орган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Т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овариства, або взяти участь у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особисто.</w:t>
            </w:r>
          </w:p>
          <w:p w:rsidR="005D2C00" w:rsidRPr="00363250" w:rsidRDefault="005D2C00" w:rsidP="009B2F66">
            <w:pPr>
              <w:widowControl w:val="0"/>
              <w:ind w:left="34" w:right="57"/>
              <w:jc w:val="both"/>
              <w:rPr>
                <w:rFonts w:asciiTheme="minorHAnsi" w:hAnsiTheme="minorHAnsi" w:cstheme="minorHAnsi"/>
                <w:sz w:val="17"/>
                <w:szCs w:val="17"/>
                <w:lang w:val="uk-UA"/>
              </w:rPr>
            </w:pP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 xml:space="preserve">8. У разі, якщо для участі в </w:t>
            </w:r>
            <w:r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З</w:t>
            </w:r>
            <w:r w:rsidRPr="00363250">
              <w:rPr>
                <w:rFonts w:asciiTheme="minorHAnsi" w:hAnsiTheme="minorHAnsi" w:cstheme="minorHAnsi"/>
                <w:sz w:val="17"/>
                <w:szCs w:val="17"/>
                <w:lang w:val="uk-UA"/>
              </w:rPr>
              <w:t>борах з'явилося декілька представників акціонера, реєструється той представник, довіреність якому видана пізніше.</w:t>
            </w:r>
          </w:p>
        </w:tc>
      </w:tr>
    </w:tbl>
    <w:p w:rsidR="005D2C00" w:rsidRPr="00293DEE" w:rsidRDefault="005D2C00" w:rsidP="000C5775">
      <w:pPr>
        <w:contextualSpacing/>
        <w:rPr>
          <w:rFonts w:asciiTheme="minorHAnsi" w:hAnsiTheme="minorHAnsi" w:cstheme="minorHAnsi"/>
          <w:b/>
          <w:sz w:val="18"/>
          <w:szCs w:val="18"/>
        </w:rPr>
      </w:pPr>
    </w:p>
    <w:sectPr w:rsidR="005D2C00" w:rsidRPr="00293DEE" w:rsidSect="003C1788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60FBE"/>
    <w:multiLevelType w:val="hybridMultilevel"/>
    <w:tmpl w:val="A08ED4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1BA"/>
    <w:rsid w:val="0000580F"/>
    <w:rsid w:val="00012C03"/>
    <w:rsid w:val="00013976"/>
    <w:rsid w:val="00074FE4"/>
    <w:rsid w:val="000C1F10"/>
    <w:rsid w:val="000C5775"/>
    <w:rsid w:val="000E7D38"/>
    <w:rsid w:val="00117911"/>
    <w:rsid w:val="001657CC"/>
    <w:rsid w:val="00182580"/>
    <w:rsid w:val="0019543E"/>
    <w:rsid w:val="001D5B09"/>
    <w:rsid w:val="001E3B5E"/>
    <w:rsid w:val="0022799F"/>
    <w:rsid w:val="00246B30"/>
    <w:rsid w:val="00260CD0"/>
    <w:rsid w:val="002631BA"/>
    <w:rsid w:val="00271530"/>
    <w:rsid w:val="00292498"/>
    <w:rsid w:val="002D01B5"/>
    <w:rsid w:val="002F6A89"/>
    <w:rsid w:val="00323403"/>
    <w:rsid w:val="003457B1"/>
    <w:rsid w:val="00345FF4"/>
    <w:rsid w:val="003469D9"/>
    <w:rsid w:val="00381F74"/>
    <w:rsid w:val="00382A9D"/>
    <w:rsid w:val="003C1788"/>
    <w:rsid w:val="004517F0"/>
    <w:rsid w:val="004534C4"/>
    <w:rsid w:val="005041E6"/>
    <w:rsid w:val="00505747"/>
    <w:rsid w:val="005111FD"/>
    <w:rsid w:val="00511B9D"/>
    <w:rsid w:val="005215B0"/>
    <w:rsid w:val="00570DBC"/>
    <w:rsid w:val="00580323"/>
    <w:rsid w:val="005B5841"/>
    <w:rsid w:val="005D2C00"/>
    <w:rsid w:val="005E0D3C"/>
    <w:rsid w:val="006312B6"/>
    <w:rsid w:val="00672B09"/>
    <w:rsid w:val="006C6EF2"/>
    <w:rsid w:val="006E2BB6"/>
    <w:rsid w:val="00721319"/>
    <w:rsid w:val="00750833"/>
    <w:rsid w:val="00752461"/>
    <w:rsid w:val="00782A21"/>
    <w:rsid w:val="007C6D6A"/>
    <w:rsid w:val="0080786B"/>
    <w:rsid w:val="008264D5"/>
    <w:rsid w:val="00833BFF"/>
    <w:rsid w:val="00883328"/>
    <w:rsid w:val="0091148A"/>
    <w:rsid w:val="00935893"/>
    <w:rsid w:val="00972497"/>
    <w:rsid w:val="009751AE"/>
    <w:rsid w:val="00981774"/>
    <w:rsid w:val="00984C13"/>
    <w:rsid w:val="009A34E2"/>
    <w:rsid w:val="009D257B"/>
    <w:rsid w:val="009F3427"/>
    <w:rsid w:val="00A62E6C"/>
    <w:rsid w:val="00A658F7"/>
    <w:rsid w:val="00A96143"/>
    <w:rsid w:val="00AC3F0B"/>
    <w:rsid w:val="00AD1C47"/>
    <w:rsid w:val="00AD6D60"/>
    <w:rsid w:val="00B27D5B"/>
    <w:rsid w:val="00BB7957"/>
    <w:rsid w:val="00BD21C6"/>
    <w:rsid w:val="00BD3411"/>
    <w:rsid w:val="00BE41D1"/>
    <w:rsid w:val="00C47467"/>
    <w:rsid w:val="00C4758E"/>
    <w:rsid w:val="00C67A07"/>
    <w:rsid w:val="00CE381E"/>
    <w:rsid w:val="00D25533"/>
    <w:rsid w:val="00D325DC"/>
    <w:rsid w:val="00D44172"/>
    <w:rsid w:val="00D51DF7"/>
    <w:rsid w:val="00D53A84"/>
    <w:rsid w:val="00D72F52"/>
    <w:rsid w:val="00DA5704"/>
    <w:rsid w:val="00DA6A5F"/>
    <w:rsid w:val="00E43A8D"/>
    <w:rsid w:val="00E60317"/>
    <w:rsid w:val="00EB640D"/>
    <w:rsid w:val="00EC76C8"/>
    <w:rsid w:val="00ED7217"/>
    <w:rsid w:val="00F56DE5"/>
    <w:rsid w:val="00F8467C"/>
    <w:rsid w:val="00F91C96"/>
    <w:rsid w:val="00FC364F"/>
    <w:rsid w:val="00FE0013"/>
    <w:rsid w:val="00FE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80B2"/>
  <w15:docId w15:val="{93E109D6-159B-423C-94CB-7BA7382A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31BA"/>
    <w:pPr>
      <w:jc w:val="center"/>
    </w:pPr>
    <w:rPr>
      <w:rFonts w:ascii="Arial" w:hAnsi="Arial"/>
      <w:b/>
      <w:noProof/>
      <w:snapToGrid w:val="0"/>
      <w:color w:val="000000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2631BA"/>
    <w:rPr>
      <w:rFonts w:ascii="Arial" w:eastAsia="Times New Roman" w:hAnsi="Arial" w:cs="Times New Roman"/>
      <w:b/>
      <w:noProof/>
      <w:snapToGrid w:val="0"/>
      <w:color w:val="000000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631BA"/>
    <w:pPr>
      <w:jc w:val="center"/>
    </w:pPr>
    <w:rPr>
      <w:rFonts w:ascii="Arial" w:hAnsi="Arial"/>
      <w:b/>
      <w:szCs w:val="20"/>
    </w:rPr>
  </w:style>
  <w:style w:type="character" w:customStyle="1" w:styleId="a6">
    <w:name w:val="Заголовок Знак"/>
    <w:basedOn w:val="a0"/>
    <w:link w:val="a5"/>
    <w:rsid w:val="002631BA"/>
    <w:rPr>
      <w:rFonts w:ascii="Arial" w:eastAsia="Times New Roman" w:hAnsi="Arial" w:cs="Times New Roman"/>
      <w:b/>
      <w:sz w:val="24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CE381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2E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2E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Несвіт</dc:creator>
  <cp:keywords/>
  <dc:description/>
  <cp:lastModifiedBy>Поромова Ганна</cp:lastModifiedBy>
  <cp:revision>12</cp:revision>
  <cp:lastPrinted>2019-03-22T09:19:00Z</cp:lastPrinted>
  <dcterms:created xsi:type="dcterms:W3CDTF">2019-03-22T07:31:00Z</dcterms:created>
  <dcterms:modified xsi:type="dcterms:W3CDTF">2019-03-22T13:13:00Z</dcterms:modified>
</cp:coreProperties>
</file>